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2DDF" w:rsidRPr="00151916" w:rsidRDefault="00DB7669" w:rsidP="00E40BD7">
      <w:pPr>
        <w:spacing w:after="0"/>
        <w:rPr>
          <w:rFonts w:ascii="Arial" w:hAnsi="Arial" w:cs="Arial"/>
          <w:i/>
          <w:sz w:val="28"/>
        </w:rPr>
      </w:pPr>
      <w:r w:rsidRPr="00151916">
        <w:rPr>
          <w:rFonts w:ascii="Arial" w:hAnsi="Arial" w:cs="Arial"/>
          <w:i/>
          <w:sz w:val="28"/>
        </w:rPr>
        <w:t>Nota de fator de risco em que a Sabesp comenta sobre a utilização dos reservatórios Guarapiranga e Billings</w:t>
      </w:r>
      <w:r w:rsidR="001E4E8C" w:rsidRPr="00151916">
        <w:rPr>
          <w:rFonts w:ascii="Arial" w:hAnsi="Arial" w:cs="Arial"/>
          <w:i/>
          <w:sz w:val="28"/>
        </w:rPr>
        <w:t xml:space="preserve"> sem custo, e que se for obrigada a fazer tal pagamento seu resultado operacional poderá ser afetado.</w:t>
      </w:r>
    </w:p>
    <w:p w:rsidR="00E40BD7" w:rsidRPr="00151916" w:rsidRDefault="00E40BD7" w:rsidP="00E40BD7">
      <w:pPr>
        <w:spacing w:after="0"/>
        <w:rPr>
          <w:rFonts w:ascii="Arial" w:hAnsi="Arial" w:cs="Arial"/>
        </w:rPr>
      </w:pPr>
      <w:bookmarkStart w:id="0" w:name="_GoBack"/>
      <w:bookmarkEnd w:id="0"/>
    </w:p>
    <w:p w:rsidR="00151916" w:rsidRPr="00151916" w:rsidRDefault="00151916" w:rsidP="00E40BD7">
      <w:pPr>
        <w:spacing w:after="0"/>
        <w:rPr>
          <w:rFonts w:ascii="Arial" w:hAnsi="Arial" w:cs="Arial"/>
        </w:rPr>
      </w:pPr>
    </w:p>
    <w:p w:rsidR="00DB7669" w:rsidRPr="00E40BD7" w:rsidRDefault="001E4E8C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E40BD7">
        <w:rPr>
          <w:rFonts w:ascii="Arial" w:hAnsi="Arial" w:cs="Arial"/>
          <w:b/>
        </w:rPr>
        <w:t>Fonte:</w:t>
      </w:r>
    </w:p>
    <w:p w:rsidR="00DB7669" w:rsidRPr="001E4E8C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</w:rPr>
      </w:pPr>
      <w:r w:rsidRPr="001E4E8C">
        <w:rPr>
          <w:rFonts w:ascii="Arial" w:hAnsi="Arial" w:cs="Arial"/>
          <w:b/>
        </w:rPr>
        <w:t>Formulário de Referência</w:t>
      </w:r>
    </w:p>
    <w:p w:rsidR="00DB7669" w:rsidRPr="00E40BD7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</w:rPr>
      </w:pPr>
      <w:r w:rsidRPr="00E40BD7">
        <w:rPr>
          <w:rFonts w:ascii="Arial" w:hAnsi="Arial" w:cs="Arial"/>
          <w:sz w:val="20"/>
        </w:rPr>
        <w:t>Conforme Anexo 24 da Instrução Comissão de Valores Mobiliários (“CVM”) n.º 480, de 07 de dezembro</w:t>
      </w:r>
      <w:r w:rsidR="001E4E8C" w:rsidRPr="00E40BD7">
        <w:rPr>
          <w:rFonts w:ascii="Arial" w:hAnsi="Arial" w:cs="Arial"/>
          <w:sz w:val="20"/>
        </w:rPr>
        <w:t xml:space="preserve"> </w:t>
      </w:r>
      <w:r w:rsidRPr="00E40BD7">
        <w:rPr>
          <w:rFonts w:ascii="Arial" w:hAnsi="Arial" w:cs="Arial"/>
          <w:sz w:val="20"/>
        </w:rPr>
        <w:t xml:space="preserve">de </w:t>
      </w:r>
      <w:proofErr w:type="gramStart"/>
      <w:r w:rsidRPr="00E40BD7">
        <w:rPr>
          <w:rFonts w:ascii="Arial" w:hAnsi="Arial" w:cs="Arial"/>
          <w:sz w:val="20"/>
        </w:rPr>
        <w:t>2009</w:t>
      </w:r>
      <w:proofErr w:type="gramEnd"/>
    </w:p>
    <w:p w:rsidR="00DB7669" w:rsidRPr="00E40BD7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</w:rPr>
      </w:pPr>
      <w:r w:rsidRPr="00E40BD7">
        <w:rPr>
          <w:rFonts w:ascii="Arial" w:hAnsi="Arial" w:cs="Arial"/>
          <w:b/>
          <w:sz w:val="20"/>
        </w:rPr>
        <w:t>Data base: 31 de dezembro de 2009</w:t>
      </w:r>
    </w:p>
    <w:p w:rsidR="00DB7669" w:rsidRPr="00E40BD7" w:rsidRDefault="00DB7669" w:rsidP="00E40BD7">
      <w:pPr>
        <w:spacing w:after="0"/>
        <w:rPr>
          <w:rFonts w:ascii="Arial" w:hAnsi="Arial" w:cs="Arial"/>
          <w:sz w:val="20"/>
        </w:rPr>
      </w:pPr>
      <w:r w:rsidRPr="00E40BD7">
        <w:rPr>
          <w:rFonts w:ascii="Arial" w:hAnsi="Arial" w:cs="Arial"/>
          <w:sz w:val="20"/>
        </w:rPr>
        <w:t>Data da última atualização deste Formulário de Referência: 05 de abril de 2010.</w:t>
      </w:r>
    </w:p>
    <w:p w:rsidR="00E40BD7" w:rsidRDefault="00E40BD7" w:rsidP="00E40BD7">
      <w:pPr>
        <w:spacing w:after="0"/>
        <w:rPr>
          <w:rFonts w:ascii="Arial" w:hAnsi="Arial" w:cs="Arial"/>
          <w:b/>
        </w:rPr>
      </w:pPr>
    </w:p>
    <w:p w:rsidR="00E40BD7" w:rsidRDefault="001E4E8C" w:rsidP="00E40BD7">
      <w:pPr>
        <w:spacing w:after="0"/>
        <w:rPr>
          <w:rFonts w:ascii="Arial" w:hAnsi="Arial" w:cs="Arial"/>
          <w:b/>
        </w:rPr>
      </w:pPr>
      <w:r w:rsidRPr="00E40BD7">
        <w:rPr>
          <w:rFonts w:ascii="Arial" w:hAnsi="Arial" w:cs="Arial"/>
          <w:b/>
        </w:rPr>
        <w:t>Conteúdo da informação:</w:t>
      </w:r>
    </w:p>
    <w:p w:rsidR="00DB7669" w:rsidRPr="00E40BD7" w:rsidRDefault="00DB7669" w:rsidP="00E40BD7">
      <w:pPr>
        <w:spacing w:after="0"/>
        <w:rPr>
          <w:rFonts w:ascii="Arial" w:hAnsi="Arial" w:cs="Arial"/>
          <w:bCs/>
          <w:sz w:val="20"/>
          <w:szCs w:val="20"/>
        </w:rPr>
      </w:pPr>
      <w:r w:rsidRPr="00E40BD7">
        <w:rPr>
          <w:rFonts w:ascii="Arial" w:hAnsi="Arial" w:cs="Arial"/>
          <w:bCs/>
          <w:sz w:val="20"/>
          <w:szCs w:val="20"/>
        </w:rPr>
        <w:t>4. Fatores de Risco.</w:t>
      </w:r>
    </w:p>
    <w:p w:rsidR="00DB7669" w:rsidRPr="00E40BD7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E40BD7">
        <w:rPr>
          <w:rFonts w:ascii="Arial" w:hAnsi="Arial" w:cs="Arial"/>
          <w:bCs/>
          <w:sz w:val="20"/>
          <w:szCs w:val="20"/>
        </w:rPr>
        <w:t>4.1 Descrever fatores de risco que possam influenciar a decisão de investimento,</w:t>
      </w:r>
      <w:r w:rsidR="001E4E8C" w:rsidRPr="00E40BD7">
        <w:rPr>
          <w:rFonts w:ascii="Arial" w:hAnsi="Arial" w:cs="Arial"/>
          <w:bCs/>
          <w:sz w:val="20"/>
          <w:szCs w:val="20"/>
        </w:rPr>
        <w:t xml:space="preserve"> </w:t>
      </w:r>
      <w:r w:rsidRPr="00E40BD7">
        <w:rPr>
          <w:rFonts w:ascii="Arial" w:hAnsi="Arial" w:cs="Arial"/>
          <w:bCs/>
          <w:sz w:val="20"/>
          <w:szCs w:val="20"/>
        </w:rPr>
        <w:t>em especial, aqueles relacionados:</w:t>
      </w:r>
    </w:p>
    <w:p w:rsidR="00DB7669" w:rsidRPr="00E40BD7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E40BD7">
        <w:rPr>
          <w:rFonts w:ascii="Arial" w:hAnsi="Arial" w:cs="Arial"/>
          <w:bCs/>
          <w:sz w:val="20"/>
          <w:szCs w:val="20"/>
        </w:rPr>
        <w:t>a) ao emissor.</w:t>
      </w:r>
    </w:p>
    <w:p w:rsidR="00DB7669" w:rsidRPr="00023C3C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iCs/>
          <w:sz w:val="20"/>
          <w:szCs w:val="20"/>
        </w:rPr>
      </w:pPr>
      <w:r w:rsidRPr="00023C3C">
        <w:rPr>
          <w:rFonts w:ascii="Arial" w:hAnsi="Arial" w:cs="Arial"/>
          <w:b/>
          <w:bCs/>
          <w:iCs/>
          <w:sz w:val="20"/>
          <w:szCs w:val="20"/>
        </w:rPr>
        <w:t>A SABESP não tem concessão formal para fornecer serviços de água e esgoto no</w:t>
      </w:r>
      <w:r w:rsidR="001E4E8C" w:rsidRPr="00023C3C">
        <w:rPr>
          <w:rFonts w:ascii="Arial" w:hAnsi="Arial" w:cs="Arial"/>
          <w:b/>
          <w:bCs/>
          <w:iCs/>
          <w:sz w:val="20"/>
          <w:szCs w:val="20"/>
        </w:rPr>
        <w:t xml:space="preserve"> </w:t>
      </w:r>
      <w:r w:rsidRPr="00023C3C">
        <w:rPr>
          <w:rFonts w:ascii="Arial" w:hAnsi="Arial" w:cs="Arial"/>
          <w:b/>
          <w:bCs/>
          <w:iCs/>
          <w:sz w:val="20"/>
          <w:szCs w:val="20"/>
        </w:rPr>
        <w:t>município de São Paulo e em diversos outros municípios e, talvez não consiga</w:t>
      </w:r>
      <w:r w:rsidR="001E4E8C" w:rsidRPr="00023C3C">
        <w:rPr>
          <w:rFonts w:ascii="Arial" w:hAnsi="Arial" w:cs="Arial"/>
          <w:b/>
          <w:bCs/>
          <w:iCs/>
          <w:sz w:val="20"/>
          <w:szCs w:val="20"/>
        </w:rPr>
        <w:t xml:space="preserve"> </w:t>
      </w:r>
      <w:r w:rsidRPr="00023C3C">
        <w:rPr>
          <w:rFonts w:ascii="Arial" w:hAnsi="Arial" w:cs="Arial"/>
          <w:b/>
          <w:bCs/>
          <w:iCs/>
          <w:sz w:val="20"/>
          <w:szCs w:val="20"/>
        </w:rPr>
        <w:t>continuar a fornecer serviços para esses municípios.</w:t>
      </w:r>
    </w:p>
    <w:p w:rsidR="00DB7669" w:rsidRPr="00E40BD7" w:rsidRDefault="00DB7669" w:rsidP="00E40BD7">
      <w:pPr>
        <w:spacing w:after="0"/>
        <w:rPr>
          <w:rFonts w:ascii="Arial" w:hAnsi="Arial" w:cs="Arial"/>
          <w:sz w:val="20"/>
          <w:szCs w:val="20"/>
        </w:rPr>
      </w:pPr>
      <w:r w:rsidRPr="00E40BD7">
        <w:rPr>
          <w:rFonts w:ascii="Arial" w:hAnsi="Arial" w:cs="Arial"/>
          <w:bCs/>
          <w:i/>
          <w:iCs/>
          <w:sz w:val="20"/>
          <w:szCs w:val="20"/>
        </w:rPr>
        <w:t>(...)</w:t>
      </w:r>
    </w:p>
    <w:p w:rsidR="00DB7669" w:rsidRPr="00E40BD7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0"/>
          <w:szCs w:val="20"/>
        </w:rPr>
      </w:pPr>
      <w:r w:rsidRPr="00E40BD7">
        <w:rPr>
          <w:rFonts w:ascii="Arial" w:hAnsi="Arial" w:cs="Arial"/>
          <w:bCs/>
          <w:sz w:val="20"/>
          <w:szCs w:val="20"/>
        </w:rPr>
        <w:t>b) a seu controlador, direto ou indireto, ou grupo de controle.</w:t>
      </w:r>
    </w:p>
    <w:p w:rsidR="00DB7669" w:rsidRPr="00E40BD7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Cs/>
          <w:sz w:val="20"/>
          <w:szCs w:val="20"/>
        </w:rPr>
      </w:pPr>
      <w:r w:rsidRPr="00E40BD7">
        <w:rPr>
          <w:rFonts w:ascii="Arial" w:hAnsi="Arial" w:cs="Arial"/>
          <w:bCs/>
          <w:iCs/>
          <w:sz w:val="20"/>
          <w:szCs w:val="20"/>
        </w:rPr>
        <w:t>A Companhia é controlada pelo Estado de São Paulo, cujos interesses poderão ser</w:t>
      </w:r>
      <w:r w:rsidR="001E4E8C" w:rsidRPr="00E40BD7">
        <w:rPr>
          <w:rFonts w:ascii="Arial" w:hAnsi="Arial" w:cs="Arial"/>
          <w:bCs/>
          <w:iCs/>
          <w:sz w:val="20"/>
          <w:szCs w:val="20"/>
        </w:rPr>
        <w:t xml:space="preserve"> </w:t>
      </w:r>
      <w:r w:rsidRPr="00E40BD7">
        <w:rPr>
          <w:rFonts w:ascii="Arial" w:hAnsi="Arial" w:cs="Arial"/>
          <w:bCs/>
          <w:iCs/>
          <w:sz w:val="20"/>
          <w:szCs w:val="20"/>
        </w:rPr>
        <w:t>contrários aos interesses dos demais acionistas e dos detentores dos valores</w:t>
      </w:r>
      <w:r w:rsidR="001E4E8C" w:rsidRPr="00E40BD7">
        <w:rPr>
          <w:rFonts w:ascii="Arial" w:hAnsi="Arial" w:cs="Arial"/>
          <w:bCs/>
          <w:iCs/>
          <w:sz w:val="20"/>
          <w:szCs w:val="20"/>
        </w:rPr>
        <w:t xml:space="preserve"> </w:t>
      </w:r>
      <w:r w:rsidRPr="00E40BD7">
        <w:rPr>
          <w:rFonts w:ascii="Arial" w:hAnsi="Arial" w:cs="Arial"/>
          <w:bCs/>
          <w:iCs/>
          <w:sz w:val="20"/>
          <w:szCs w:val="20"/>
        </w:rPr>
        <w:t>mobiliários de sua emissão.</w:t>
      </w:r>
    </w:p>
    <w:p w:rsidR="00DB7669" w:rsidRDefault="00DB7669" w:rsidP="00E40BD7">
      <w:pPr>
        <w:spacing w:after="0"/>
        <w:rPr>
          <w:rFonts w:ascii="Arial" w:hAnsi="Arial" w:cs="Arial"/>
          <w:bCs/>
          <w:i/>
          <w:iCs/>
          <w:sz w:val="20"/>
          <w:szCs w:val="20"/>
        </w:rPr>
      </w:pPr>
      <w:r w:rsidRPr="00E40BD7">
        <w:rPr>
          <w:rFonts w:ascii="Arial" w:hAnsi="Arial" w:cs="Arial"/>
          <w:bCs/>
          <w:i/>
          <w:iCs/>
          <w:sz w:val="20"/>
          <w:szCs w:val="20"/>
        </w:rPr>
        <w:t>(...)</w:t>
      </w:r>
    </w:p>
    <w:p w:rsidR="00E40BD7" w:rsidRPr="00E40BD7" w:rsidRDefault="00E40BD7" w:rsidP="00E40BD7">
      <w:pPr>
        <w:spacing w:after="0"/>
        <w:rPr>
          <w:rFonts w:ascii="Arial" w:hAnsi="Arial" w:cs="Arial"/>
          <w:bCs/>
          <w:i/>
          <w:iCs/>
          <w:sz w:val="20"/>
          <w:szCs w:val="20"/>
        </w:rPr>
      </w:pPr>
    </w:p>
    <w:p w:rsidR="00DB7669" w:rsidRPr="001E4E8C" w:rsidRDefault="00DB7669" w:rsidP="00E40BD7">
      <w:pPr>
        <w:spacing w:after="0"/>
        <w:rPr>
          <w:rFonts w:ascii="Arial" w:hAnsi="Arial" w:cs="Arial"/>
        </w:rPr>
      </w:pPr>
      <w:r w:rsidRPr="001E4E8C">
        <w:rPr>
          <w:rFonts w:ascii="Arial" w:hAnsi="Arial" w:cs="Arial"/>
          <w:b/>
          <w:bCs/>
          <w:i/>
          <w:iCs/>
        </w:rPr>
        <w:t>Pg.</w:t>
      </w:r>
      <w:r w:rsidR="00E40BD7">
        <w:rPr>
          <w:rFonts w:ascii="Arial" w:hAnsi="Arial" w:cs="Arial"/>
          <w:b/>
          <w:bCs/>
          <w:i/>
          <w:iCs/>
        </w:rPr>
        <w:t xml:space="preserve"> 20 – Registro:</w:t>
      </w:r>
    </w:p>
    <w:p w:rsidR="00DB7669" w:rsidRPr="001E4E8C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/>
          <w:iCs/>
        </w:rPr>
      </w:pPr>
      <w:r w:rsidRPr="00023C3C">
        <w:rPr>
          <w:rFonts w:ascii="Arial" w:hAnsi="Arial" w:cs="Arial"/>
          <w:bCs/>
          <w:i/>
          <w:iCs/>
          <w:u w:val="single"/>
        </w:rPr>
        <w:t>A SABESP pode vir a ser compelida a adquirir reservatórios</w:t>
      </w:r>
      <w:r w:rsidRPr="001E4E8C">
        <w:rPr>
          <w:rFonts w:ascii="Arial" w:hAnsi="Arial" w:cs="Arial"/>
          <w:bCs/>
          <w:i/>
          <w:iCs/>
        </w:rPr>
        <w:t xml:space="preserve"> por ela utilizados e que</w:t>
      </w:r>
      <w:r w:rsidR="001E4E8C" w:rsidRPr="001E4E8C">
        <w:rPr>
          <w:rFonts w:ascii="Arial" w:hAnsi="Arial" w:cs="Arial"/>
          <w:bCs/>
          <w:i/>
          <w:iCs/>
        </w:rPr>
        <w:t xml:space="preserve"> </w:t>
      </w:r>
      <w:r w:rsidRPr="001E4E8C">
        <w:rPr>
          <w:rFonts w:ascii="Arial" w:hAnsi="Arial" w:cs="Arial"/>
          <w:bCs/>
          <w:i/>
          <w:iCs/>
        </w:rPr>
        <w:t xml:space="preserve">são de propriedade de empresa pertencente ao Estado </w:t>
      </w:r>
      <w:r w:rsidRPr="00023C3C">
        <w:rPr>
          <w:rFonts w:ascii="Arial" w:hAnsi="Arial" w:cs="Arial"/>
          <w:bCs/>
          <w:i/>
          <w:iCs/>
          <w:u w:val="single"/>
        </w:rPr>
        <w:t>ou a pagar valores substanciais</w:t>
      </w:r>
      <w:r w:rsidR="001E4E8C" w:rsidRPr="00023C3C">
        <w:rPr>
          <w:rFonts w:ascii="Arial" w:hAnsi="Arial" w:cs="Arial"/>
          <w:bCs/>
          <w:i/>
          <w:iCs/>
          <w:u w:val="single"/>
        </w:rPr>
        <w:t xml:space="preserve"> </w:t>
      </w:r>
      <w:r w:rsidRPr="00023C3C">
        <w:rPr>
          <w:rFonts w:ascii="Arial" w:hAnsi="Arial" w:cs="Arial"/>
          <w:bCs/>
          <w:i/>
          <w:iCs/>
          <w:u w:val="single"/>
        </w:rPr>
        <w:t>pela utilização desses reservatórios</w:t>
      </w:r>
      <w:r w:rsidRPr="001E4E8C">
        <w:rPr>
          <w:rFonts w:ascii="Arial" w:hAnsi="Arial" w:cs="Arial"/>
          <w:bCs/>
          <w:i/>
          <w:iCs/>
        </w:rPr>
        <w:t xml:space="preserve">, a título de aluguel, </w:t>
      </w:r>
      <w:r w:rsidRPr="00023C3C">
        <w:rPr>
          <w:rFonts w:ascii="Arial" w:hAnsi="Arial" w:cs="Arial"/>
          <w:bCs/>
          <w:i/>
          <w:iCs/>
          <w:u w:val="single"/>
        </w:rPr>
        <w:t>além de custos adicionais de</w:t>
      </w:r>
      <w:r w:rsidR="001E4E8C" w:rsidRPr="00023C3C">
        <w:rPr>
          <w:rFonts w:ascii="Arial" w:hAnsi="Arial" w:cs="Arial"/>
          <w:bCs/>
          <w:i/>
          <w:iCs/>
          <w:u w:val="single"/>
        </w:rPr>
        <w:t xml:space="preserve"> </w:t>
      </w:r>
      <w:r w:rsidRPr="00023C3C">
        <w:rPr>
          <w:rFonts w:ascii="Arial" w:hAnsi="Arial" w:cs="Arial"/>
          <w:bCs/>
          <w:i/>
          <w:iCs/>
          <w:u w:val="single"/>
        </w:rPr>
        <w:t>operação e manutenção com relação à utilização desses reservatórios</w:t>
      </w:r>
      <w:r w:rsidRPr="001E4E8C">
        <w:rPr>
          <w:rFonts w:ascii="Arial" w:hAnsi="Arial" w:cs="Arial"/>
          <w:bCs/>
          <w:i/>
          <w:iCs/>
        </w:rPr>
        <w:t>.</w:t>
      </w:r>
    </w:p>
    <w:p w:rsidR="00DB7669" w:rsidRPr="001E4E8C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i/>
          <w:iCs/>
        </w:rPr>
      </w:pPr>
    </w:p>
    <w:p w:rsidR="00E40BD7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1E4E8C">
        <w:rPr>
          <w:rFonts w:ascii="Arial" w:hAnsi="Arial" w:cs="Arial"/>
          <w:i/>
        </w:rPr>
        <w:t xml:space="preserve">A Companhia </w:t>
      </w:r>
      <w:r w:rsidRPr="00023C3C">
        <w:rPr>
          <w:rFonts w:ascii="Arial" w:hAnsi="Arial" w:cs="Arial"/>
          <w:i/>
          <w:u w:val="single"/>
        </w:rPr>
        <w:t>utiliza em suas operações os reservatórios de Guarapiranga e Billings</w:t>
      </w:r>
      <w:r w:rsidRPr="001E4E8C">
        <w:rPr>
          <w:rFonts w:ascii="Arial" w:hAnsi="Arial" w:cs="Arial"/>
          <w:i/>
        </w:rPr>
        <w:t>. O</w:t>
      </w:r>
      <w:r w:rsidR="001E4E8C" w:rsidRPr="001E4E8C">
        <w:rPr>
          <w:rFonts w:ascii="Arial" w:hAnsi="Arial" w:cs="Arial"/>
          <w:i/>
        </w:rPr>
        <w:t xml:space="preserve"> </w:t>
      </w:r>
      <w:r w:rsidRPr="001E4E8C">
        <w:rPr>
          <w:rFonts w:ascii="Arial" w:hAnsi="Arial" w:cs="Arial"/>
          <w:i/>
        </w:rPr>
        <w:t xml:space="preserve">Estado, por meio do controle do Conselho de Administração da SABESP, </w:t>
      </w:r>
      <w:r w:rsidRPr="00023C3C">
        <w:rPr>
          <w:rFonts w:ascii="Arial" w:hAnsi="Arial" w:cs="Arial"/>
          <w:i/>
          <w:u w:val="single"/>
        </w:rPr>
        <w:t>poderá exigir</w:t>
      </w:r>
      <w:r w:rsidR="001E4E8C" w:rsidRPr="00023C3C">
        <w:rPr>
          <w:rFonts w:ascii="Arial" w:hAnsi="Arial" w:cs="Arial"/>
          <w:i/>
          <w:u w:val="single"/>
        </w:rPr>
        <w:t xml:space="preserve"> </w:t>
      </w:r>
      <w:r w:rsidRPr="00023C3C">
        <w:rPr>
          <w:rFonts w:ascii="Arial" w:hAnsi="Arial" w:cs="Arial"/>
          <w:i/>
          <w:u w:val="single"/>
        </w:rPr>
        <w:t xml:space="preserve">que tais reservatórios </w:t>
      </w:r>
      <w:proofErr w:type="gramStart"/>
      <w:r w:rsidRPr="00023C3C">
        <w:rPr>
          <w:rFonts w:ascii="Arial" w:hAnsi="Arial" w:cs="Arial"/>
          <w:i/>
          <w:u w:val="single"/>
        </w:rPr>
        <w:t>sejam</w:t>
      </w:r>
      <w:proofErr w:type="gramEnd"/>
      <w:r w:rsidRPr="00023C3C">
        <w:rPr>
          <w:rFonts w:ascii="Arial" w:hAnsi="Arial" w:cs="Arial"/>
          <w:i/>
          <w:u w:val="single"/>
        </w:rPr>
        <w:t xml:space="preserve"> adquiridos pela Companhia</w:t>
      </w:r>
      <w:r w:rsidRPr="001E4E8C">
        <w:rPr>
          <w:rFonts w:ascii="Arial" w:hAnsi="Arial" w:cs="Arial"/>
          <w:i/>
        </w:rPr>
        <w:t xml:space="preserve">. </w:t>
      </w:r>
    </w:p>
    <w:p w:rsidR="00E40BD7" w:rsidRDefault="00E40BD7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</w:p>
    <w:p w:rsidR="00E40BD7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1E4E8C">
        <w:rPr>
          <w:rFonts w:ascii="Arial" w:hAnsi="Arial" w:cs="Arial"/>
          <w:i/>
        </w:rPr>
        <w:t>Em virtude dessas aquisições,</w:t>
      </w:r>
      <w:r w:rsidR="001E4E8C" w:rsidRPr="001E4E8C">
        <w:rPr>
          <w:rFonts w:ascii="Arial" w:hAnsi="Arial" w:cs="Arial"/>
          <w:i/>
        </w:rPr>
        <w:t xml:space="preserve"> </w:t>
      </w:r>
      <w:r w:rsidRPr="001E4E8C">
        <w:rPr>
          <w:rFonts w:ascii="Arial" w:hAnsi="Arial" w:cs="Arial"/>
          <w:i/>
        </w:rPr>
        <w:t>a disponibilidade de caixa e a situação financeira da SABESP poderão ser adversamente</w:t>
      </w:r>
      <w:r w:rsidR="001E4E8C" w:rsidRPr="001E4E8C">
        <w:rPr>
          <w:rFonts w:ascii="Arial" w:hAnsi="Arial" w:cs="Arial"/>
          <w:i/>
        </w:rPr>
        <w:t xml:space="preserve"> </w:t>
      </w:r>
      <w:r w:rsidRPr="001E4E8C">
        <w:rPr>
          <w:rFonts w:ascii="Arial" w:hAnsi="Arial" w:cs="Arial"/>
          <w:i/>
        </w:rPr>
        <w:t xml:space="preserve">afetadas. </w:t>
      </w:r>
      <w:r w:rsidRPr="00023C3C">
        <w:rPr>
          <w:rFonts w:ascii="Arial" w:hAnsi="Arial" w:cs="Arial"/>
          <w:b/>
          <w:i/>
          <w:u w:val="single"/>
        </w:rPr>
        <w:t>Ademais, atualmente nenhum pagamento é exigido da Companhia pela</w:t>
      </w:r>
      <w:r w:rsidR="001E4E8C" w:rsidRPr="00023C3C">
        <w:rPr>
          <w:rFonts w:ascii="Arial" w:hAnsi="Arial" w:cs="Arial"/>
          <w:b/>
          <w:i/>
          <w:u w:val="single"/>
        </w:rPr>
        <w:t xml:space="preserve"> </w:t>
      </w:r>
      <w:r w:rsidRPr="00023C3C">
        <w:rPr>
          <w:rFonts w:ascii="Arial" w:hAnsi="Arial" w:cs="Arial"/>
          <w:b/>
          <w:i/>
          <w:u w:val="single"/>
        </w:rPr>
        <w:t>utilização dos referidos reservatórios</w:t>
      </w:r>
      <w:r w:rsidRPr="001E4E8C">
        <w:rPr>
          <w:rFonts w:ascii="Arial" w:hAnsi="Arial" w:cs="Arial"/>
          <w:i/>
        </w:rPr>
        <w:t xml:space="preserve">. </w:t>
      </w:r>
    </w:p>
    <w:p w:rsidR="00E40BD7" w:rsidRDefault="00E40BD7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</w:p>
    <w:p w:rsidR="00E40BD7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1E4E8C">
        <w:rPr>
          <w:rFonts w:ascii="Arial" w:hAnsi="Arial" w:cs="Arial"/>
          <w:i/>
        </w:rPr>
        <w:t xml:space="preserve">A SABESP </w:t>
      </w:r>
      <w:r w:rsidRPr="00023C3C">
        <w:rPr>
          <w:rFonts w:ascii="Arial" w:hAnsi="Arial" w:cs="Arial"/>
          <w:b/>
          <w:i/>
        </w:rPr>
        <w:t>não pode assegurar, entretanto, até</w:t>
      </w:r>
      <w:r w:rsidR="001E4E8C" w:rsidRPr="00023C3C">
        <w:rPr>
          <w:rFonts w:ascii="Arial" w:hAnsi="Arial" w:cs="Arial"/>
          <w:b/>
          <w:i/>
        </w:rPr>
        <w:t xml:space="preserve"> </w:t>
      </w:r>
      <w:r w:rsidRPr="00023C3C">
        <w:rPr>
          <w:rFonts w:ascii="Arial" w:hAnsi="Arial" w:cs="Arial"/>
          <w:b/>
          <w:i/>
        </w:rPr>
        <w:t>quando terá a faculdade de utilizar tais reservatórios sem pagamento de quaisquer</w:t>
      </w:r>
      <w:r w:rsidR="001E4E8C" w:rsidRPr="00023C3C">
        <w:rPr>
          <w:rFonts w:ascii="Arial" w:hAnsi="Arial" w:cs="Arial"/>
          <w:b/>
          <w:i/>
        </w:rPr>
        <w:t xml:space="preserve"> </w:t>
      </w:r>
      <w:r w:rsidRPr="00023C3C">
        <w:rPr>
          <w:rFonts w:ascii="Arial" w:hAnsi="Arial" w:cs="Arial"/>
          <w:b/>
          <w:i/>
        </w:rPr>
        <w:t>valores</w:t>
      </w:r>
      <w:r w:rsidRPr="001E4E8C">
        <w:rPr>
          <w:rFonts w:ascii="Arial" w:hAnsi="Arial" w:cs="Arial"/>
          <w:i/>
        </w:rPr>
        <w:t xml:space="preserve">, ou quais seriam esses valores, se exigidos. </w:t>
      </w:r>
    </w:p>
    <w:p w:rsidR="00E40BD7" w:rsidRDefault="00E40BD7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</w:p>
    <w:p w:rsidR="00E40BD7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1E4E8C">
        <w:rPr>
          <w:rFonts w:ascii="Arial" w:hAnsi="Arial" w:cs="Arial"/>
          <w:i/>
        </w:rPr>
        <w:t xml:space="preserve">A SABESP </w:t>
      </w:r>
      <w:r w:rsidRPr="00023C3C">
        <w:rPr>
          <w:rFonts w:ascii="Arial" w:hAnsi="Arial" w:cs="Arial"/>
          <w:b/>
          <w:i/>
        </w:rPr>
        <w:t>pode também ser</w:t>
      </w:r>
      <w:r w:rsidR="001E4E8C" w:rsidRPr="00023C3C">
        <w:rPr>
          <w:rFonts w:ascii="Arial" w:hAnsi="Arial" w:cs="Arial"/>
          <w:b/>
          <w:i/>
        </w:rPr>
        <w:t xml:space="preserve"> </w:t>
      </w:r>
      <w:r w:rsidRPr="00023C3C">
        <w:rPr>
          <w:rFonts w:ascii="Arial" w:hAnsi="Arial" w:cs="Arial"/>
          <w:b/>
          <w:i/>
        </w:rPr>
        <w:t>compelida a arcar com custos adicionais de operação e manutenção em virtude da</w:t>
      </w:r>
      <w:r w:rsidR="001E4E8C" w:rsidRPr="00023C3C">
        <w:rPr>
          <w:rFonts w:ascii="Arial" w:hAnsi="Arial" w:cs="Arial"/>
          <w:b/>
          <w:i/>
        </w:rPr>
        <w:t xml:space="preserve"> </w:t>
      </w:r>
      <w:r w:rsidRPr="00023C3C">
        <w:rPr>
          <w:rFonts w:ascii="Arial" w:hAnsi="Arial" w:cs="Arial"/>
          <w:b/>
          <w:i/>
        </w:rPr>
        <w:t>utilização das represas Billings e Guarapiranga</w:t>
      </w:r>
      <w:r w:rsidRPr="001E4E8C">
        <w:rPr>
          <w:rFonts w:ascii="Arial" w:hAnsi="Arial" w:cs="Arial"/>
          <w:i/>
        </w:rPr>
        <w:t xml:space="preserve">. </w:t>
      </w:r>
    </w:p>
    <w:p w:rsidR="00E40BD7" w:rsidRDefault="00E40BD7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</w:p>
    <w:p w:rsidR="00DB7669" w:rsidRPr="001E4E8C" w:rsidRDefault="00DB7669" w:rsidP="00E40BD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 w:rsidRPr="001E4E8C">
        <w:rPr>
          <w:rFonts w:ascii="Arial" w:hAnsi="Arial" w:cs="Arial"/>
          <w:i/>
        </w:rPr>
        <w:t>Se a SABESP for obrigada a fazer</w:t>
      </w:r>
      <w:r w:rsidR="001E4E8C" w:rsidRPr="001E4E8C">
        <w:rPr>
          <w:rFonts w:ascii="Arial" w:hAnsi="Arial" w:cs="Arial"/>
          <w:i/>
        </w:rPr>
        <w:t xml:space="preserve"> </w:t>
      </w:r>
      <w:r w:rsidRPr="001E4E8C">
        <w:rPr>
          <w:rFonts w:ascii="Arial" w:hAnsi="Arial" w:cs="Arial"/>
          <w:i/>
        </w:rPr>
        <w:t>pagamentos substanciais de valores pela utilização dos reservatórios, ou se incorrer em</w:t>
      </w:r>
      <w:r w:rsidR="001E4E8C" w:rsidRPr="001E4E8C">
        <w:rPr>
          <w:rFonts w:ascii="Arial" w:hAnsi="Arial" w:cs="Arial"/>
          <w:i/>
        </w:rPr>
        <w:t xml:space="preserve"> </w:t>
      </w:r>
      <w:r w:rsidRPr="001E4E8C">
        <w:rPr>
          <w:rFonts w:ascii="Arial" w:hAnsi="Arial" w:cs="Arial"/>
          <w:i/>
        </w:rPr>
        <w:t>custos adicionais de operação e manutenção relacionados ao uso dessas propriedades, os</w:t>
      </w:r>
      <w:r w:rsidR="001E4E8C" w:rsidRPr="001E4E8C">
        <w:rPr>
          <w:rFonts w:ascii="Arial" w:hAnsi="Arial" w:cs="Arial"/>
          <w:i/>
        </w:rPr>
        <w:t xml:space="preserve"> </w:t>
      </w:r>
      <w:r w:rsidRPr="001E4E8C">
        <w:rPr>
          <w:rFonts w:ascii="Arial" w:hAnsi="Arial" w:cs="Arial"/>
          <w:i/>
        </w:rPr>
        <w:t>seus resultados operacionais poderão ser adversamente afetados.</w:t>
      </w:r>
    </w:p>
    <w:p w:rsidR="00DB7669" w:rsidRPr="001E4E8C" w:rsidRDefault="00DB7669" w:rsidP="00E40BD7">
      <w:pPr>
        <w:spacing w:after="0"/>
        <w:rPr>
          <w:rFonts w:ascii="Arial" w:hAnsi="Arial" w:cs="Arial"/>
        </w:rPr>
      </w:pPr>
    </w:p>
    <w:sectPr w:rsidR="00DB7669" w:rsidRPr="001E4E8C" w:rsidSect="00E40BD7">
      <w:pgSz w:w="11906" w:h="16838"/>
      <w:pgMar w:top="1417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7669"/>
    <w:rsid w:val="00023C3C"/>
    <w:rsid w:val="00151916"/>
    <w:rsid w:val="001E4E8C"/>
    <w:rsid w:val="00572DDF"/>
    <w:rsid w:val="00DB7669"/>
    <w:rsid w:val="00E40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394</Words>
  <Characters>2129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EMAE - Empresa Metropolitana de Águas e Energia S/A.</Company>
  <LinksUpToDate>false</LinksUpToDate>
  <CharactersWithSpaces>2518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g01587</dc:creator>
  <cp:lastModifiedBy>g01587</cp:lastModifiedBy>
  <cp:revision>3</cp:revision>
  <dcterms:created xsi:type="dcterms:W3CDTF">2011-08-10T13:02:00Z</dcterms:created>
  <dcterms:modified xsi:type="dcterms:W3CDTF">2011-08-18T19:21:00Z</dcterms:modified>
</cp:coreProperties>
</file>